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64" w:rsidRDefault="00AE6964" w:rsidP="00AE6964">
      <w:pPr>
        <w:spacing w:line="3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包装工程专业（非师范）培养方案</w:t>
      </w:r>
    </w:p>
    <w:p w:rsidR="00AE6964" w:rsidRDefault="00AE6964" w:rsidP="00AE6964">
      <w:pPr>
        <w:spacing w:line="3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专业英文名：</w:t>
      </w:r>
      <w:r>
        <w:t>Packaging Engineering</w:t>
      </w:r>
    </w:p>
    <w:p w:rsidR="00AE6964" w:rsidRDefault="00AE6964" w:rsidP="00AE6964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专业代码：</w:t>
      </w:r>
      <w:r>
        <w:rPr>
          <w:rFonts w:ascii="黑体" w:eastAsia="黑体" w:hAnsi="宋体" w:hint="eastAsia"/>
          <w:sz w:val="28"/>
        </w:rPr>
        <w:t>081702</w:t>
      </w:r>
    </w:p>
    <w:p w:rsidR="00AE6964" w:rsidRDefault="00AE6964" w:rsidP="00AE6964">
      <w:pPr>
        <w:spacing w:line="36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 w:cs="仿宋" w:hint="eastAsia"/>
          <w:sz w:val="24"/>
          <w:szCs w:val="24"/>
        </w:rPr>
        <w:t>方案制定负责人: 武玉强、宋贞海     方案编写执笔：李淑娟</w:t>
      </w:r>
    </w:p>
    <w:p w:rsidR="00AE6964" w:rsidRDefault="00AE6964" w:rsidP="00AE6964">
      <w:pPr>
        <w:adjustRightInd w:val="0"/>
        <w:spacing w:line="360" w:lineRule="exact"/>
        <w:ind w:firstLineChars="200" w:firstLine="480"/>
        <w:jc w:val="left"/>
        <w:rPr>
          <w:rFonts w:ascii="宋体" w:cs="宋体" w:hint="eastAsia"/>
          <w:sz w:val="24"/>
          <w:szCs w:val="24"/>
        </w:rPr>
      </w:pP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包装工程专业设置在日照校区工学院，2007年始设，是工学学科门类中轻工类中的本科专业。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黑体" w:eastAsia="黑体" w:hAnsi="黑体" w:hint="eastAsia"/>
          <w:color w:val="auto"/>
          <w:sz w:val="28"/>
          <w:szCs w:val="28"/>
        </w:rPr>
      </w:pPr>
      <w:r>
        <w:rPr>
          <w:rFonts w:ascii="黑体" w:eastAsia="黑体" w:hAnsi="黑体" w:hint="eastAsia"/>
          <w:color w:val="auto"/>
          <w:sz w:val="28"/>
          <w:szCs w:val="28"/>
        </w:rPr>
        <w:t>一、培养目标与要求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（一）培养目标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本专业培养知识、能力、素质协调发展，有较强实践能力和创新精神，掌握包装工程基础理论与相关艺术设计知识，具备包装系统分析、设计与技术管理等工作能力，能在包装与印刷企业，商品生产与流通、科研机构、外贸、商检等部门从事包装系统设计、生产、质量检测、技术管理和科学研究的，具有强烈社会责任感与人文情怀、坚实学科专业基础与卓越创新创业能力、深厚传统文化底蕴与宽广国际视野的高素质人才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（二）培养要求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本专业主要学习包装防护、包装设计与制造、包装材料、包装工艺包装机械等方面的基本知识与理论，形成能在各类与包装相关的企业、科研机构、教育机构、外贸、商检、商品生产和物流等部门的产品包装领域从事包装系统设计、包装材料选用、包装工艺设计、产品质量检测、管理与研发基本能力。应获得的知识和能力如下：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1．具有现代工程技术人员必需的职业道德、强烈的社会责任感和丰富的人文科学素养；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2．具有从事工程工作所需的自然科学知识以及一定的经济管理知识；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3. 具有良好的质量、环境、职业健康、安全和服务意识；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4．掌握扎实的包装工程以及相关学科的基本理论、基本知识，了解本专业的发展现状和趋势；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lastRenderedPageBreak/>
        <w:t>5．掌握包装材料应用、包装防护技术、包装结构与装潢设计的基本技能，具备包装专业项目设计、实验设计、产品检验测试等解决工程实际问题的能力；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6．熟悉包装领域技术标准、行业政策和法规, 具有从事生产管理、市场预测和商品贸易的基本能力；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7. 掌握文献检索的基本方法，具备良好的计算机应用能力和较强的自主学习能力；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8. 掌握生产与技术管理的基本知识，具有较好的组织管理能力以及较强的交流、环境适应和团队合作能力；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9. 具备处理生产及项目中出现的异常情况及突发事件的初步能力。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黑体" w:eastAsia="黑体" w:hAnsi="黑体" w:hint="eastAsia"/>
          <w:color w:val="auto"/>
          <w:sz w:val="28"/>
          <w:szCs w:val="28"/>
        </w:rPr>
      </w:pPr>
      <w:r>
        <w:rPr>
          <w:rFonts w:ascii="黑体" w:eastAsia="黑体" w:hAnsi="黑体" w:hint="eastAsia"/>
          <w:color w:val="auto"/>
          <w:sz w:val="28"/>
          <w:szCs w:val="28"/>
        </w:rPr>
        <w:t>二、学制与学分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（一）学制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标准学制4年。实行弹性修读年限，弹性区间为3～8年。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（二）学分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总学分为160学分。国（境）外留学生可</w:t>
      </w:r>
      <w:proofErr w:type="gramStart"/>
      <w:r>
        <w:rPr>
          <w:rFonts w:ascii="仿宋_GB2312" w:eastAsia="仿宋_GB2312" w:hAnsi="??" w:hint="eastAsia"/>
          <w:color w:val="auto"/>
          <w:sz w:val="28"/>
          <w:szCs w:val="28"/>
        </w:rPr>
        <w:t>免修除</w:t>
      </w:r>
      <w:proofErr w:type="gramEnd"/>
      <w:r>
        <w:rPr>
          <w:rFonts w:ascii="仿宋_GB2312" w:eastAsia="仿宋_GB2312" w:hAnsi="??" w:hint="eastAsia"/>
          <w:color w:val="auto"/>
          <w:sz w:val="28"/>
          <w:szCs w:val="28"/>
        </w:rPr>
        <w:t>公共体育系列课程之外的通识必修课程及其相应的实践教学环节。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黑体" w:eastAsia="黑体" w:hAnsi="黑体" w:hint="eastAsia"/>
          <w:color w:val="auto"/>
          <w:sz w:val="28"/>
          <w:szCs w:val="28"/>
        </w:rPr>
      </w:pPr>
      <w:r>
        <w:rPr>
          <w:rFonts w:ascii="黑体" w:eastAsia="黑体" w:hAnsi="黑体" w:hint="eastAsia"/>
          <w:color w:val="auto"/>
          <w:sz w:val="28"/>
          <w:szCs w:val="28"/>
        </w:rPr>
        <w:t>三、主干学科、核心课程与主要专业实验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（一）主干学科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包装工程、材料科学与工程、机械工程。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（二）核心课程</w:t>
      </w:r>
    </w:p>
    <w:p w:rsidR="00AE6964" w:rsidRDefault="00AE6964" w:rsidP="00AE6964">
      <w:pPr>
        <w:pStyle w:val="a3"/>
        <w:snapToGrid w:val="0"/>
        <w:spacing w:line="500" w:lineRule="exact"/>
        <w:ind w:firstLine="560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包装结构、包装工艺、包装材料、包装装潢、运输包装、包装印刷等。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（三）主要专业实验（实训）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包装结构实验、包装工艺实验、包装材料实验、包装设计实验、运输包装实验、包装印刷实验、包装综合实验、金工实习、专业实习等。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color w:val="auto"/>
          <w:sz w:val="28"/>
          <w:szCs w:val="28"/>
        </w:rPr>
      </w:pPr>
      <w:r>
        <w:rPr>
          <w:rFonts w:ascii="黑体" w:eastAsia="黑体" w:hAnsi="黑体" w:hint="eastAsia"/>
          <w:color w:val="auto"/>
          <w:sz w:val="28"/>
          <w:szCs w:val="28"/>
        </w:rPr>
        <w:lastRenderedPageBreak/>
        <w:t>四、主要实践性教学环节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Times New Roman" w:cs="Times New Roman" w:hint="eastAsia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（一）通识教育</w:t>
      </w:r>
      <w:proofErr w:type="gramStart"/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课实践</w:t>
      </w:r>
      <w:proofErr w:type="gramEnd"/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教学</w:t>
      </w:r>
    </w:p>
    <w:p w:rsidR="00AE6964" w:rsidRDefault="00AE6964" w:rsidP="00AE6964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通识教育实践教学是指通识必修课程中，实验、社会实践活动等教学环节，各课程根据课程的具体实际合理设置实践学时与学分。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（二）课程论文（设计）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课程论文（设计）是在学习专业课的过程中所进行的实践教学活动，一般依托所学习的某一门课程进行，在第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学期安排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篇。完成并符合要求，每篇计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学分，共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楷体" w:cs="Times New Roman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（三）专业见习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专业见习是在学习专业课的过程中所进行的实践教学活动，是对所学习的专业内容进行实际考察学习，以培养、锻炼专业能力。安排在第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学期进行，计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 xml:space="preserve">1 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楷体" w:cs="Times New Roman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（四）金工实习</w:t>
      </w:r>
    </w:p>
    <w:p w:rsidR="00AE6964" w:rsidRDefault="00AE6964" w:rsidP="00AE6964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金工实习</w:t>
      </w:r>
      <w:proofErr w:type="gramStart"/>
      <w:r>
        <w:rPr>
          <w:rFonts w:eastAsia="仿宋_GB2312" w:hint="eastAsia"/>
          <w:kern w:val="0"/>
          <w:sz w:val="28"/>
          <w:szCs w:val="28"/>
        </w:rPr>
        <w:t>是非机</w:t>
      </w:r>
      <w:proofErr w:type="gramEnd"/>
      <w:r>
        <w:rPr>
          <w:rFonts w:eastAsia="仿宋_GB2312" w:hint="eastAsia"/>
          <w:kern w:val="0"/>
          <w:sz w:val="28"/>
          <w:szCs w:val="28"/>
        </w:rPr>
        <w:t>类工科专业教学计划中重要的实践教学环节，是学生了解机械加工生产过程、培养实践动手能力和工程素质的必修环节。安排在第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～</w:t>
      </w:r>
      <w:r>
        <w:rPr>
          <w:rFonts w:eastAsia="仿宋_GB2312"/>
          <w:kern w:val="0"/>
          <w:sz w:val="28"/>
          <w:szCs w:val="28"/>
        </w:rPr>
        <w:t xml:space="preserve">4 </w:t>
      </w:r>
      <w:r>
        <w:rPr>
          <w:rFonts w:eastAsia="仿宋_GB2312" w:hint="eastAsia"/>
          <w:kern w:val="0"/>
          <w:sz w:val="28"/>
          <w:szCs w:val="28"/>
        </w:rPr>
        <w:t>学期进行，用时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～</w:t>
      </w:r>
      <w:r>
        <w:rPr>
          <w:rFonts w:eastAsia="仿宋_GB2312"/>
          <w:kern w:val="0"/>
          <w:sz w:val="28"/>
          <w:szCs w:val="28"/>
        </w:rPr>
        <w:t>6</w:t>
      </w:r>
      <w:r>
        <w:rPr>
          <w:rFonts w:eastAsia="仿宋_GB2312" w:hint="eastAsia"/>
          <w:kern w:val="0"/>
          <w:sz w:val="28"/>
          <w:szCs w:val="28"/>
        </w:rPr>
        <w:t>周，计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（五）专业实习</w:t>
      </w:r>
      <w:r>
        <w:rPr>
          <w:rFonts w:ascii="Times New Roman" w:eastAsia="楷体" w:hAnsi="Times New Roman" w:cs="Times New Roman"/>
          <w:b/>
          <w:color w:val="auto"/>
          <w:sz w:val="28"/>
          <w:szCs w:val="28"/>
        </w:rPr>
        <w:t xml:space="preserve"> 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专业实习是重要的实践教学环节，目的是全面培养、提升学生的实际工作能力。一般安排在第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学期进行，用时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周，完成并符合要求，计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楷体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（六）毕业论文（设计）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毕业论文（设计）是学程即将结束时，检查学生学习成效，培养工作能力和科研能力的重要实践教学环节，安排在第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学期进行，用时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周。完成并符合要求，计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学分。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 w:hint="eastAsia"/>
          <w:color w:val="auto"/>
          <w:sz w:val="28"/>
          <w:szCs w:val="28"/>
        </w:rPr>
        <w:t>五、毕业与学位授予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t>（一）毕业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修满本专业要求的学分，通过毕业资格审查即可毕业。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楷体" w:eastAsia="楷体" w:hAnsi="楷体" w:hint="eastAsia"/>
          <w:b/>
          <w:color w:val="auto"/>
          <w:sz w:val="28"/>
          <w:szCs w:val="28"/>
        </w:rPr>
      </w:pPr>
      <w:r>
        <w:rPr>
          <w:rFonts w:ascii="楷体" w:eastAsia="楷体" w:hAnsi="楷体" w:hint="eastAsia"/>
          <w:b/>
          <w:color w:val="auto"/>
          <w:sz w:val="28"/>
          <w:szCs w:val="28"/>
        </w:rPr>
        <w:lastRenderedPageBreak/>
        <w:t>（二）学位</w:t>
      </w:r>
    </w:p>
    <w:p w:rsidR="00AE6964" w:rsidRDefault="00AE6964" w:rsidP="00AE6964">
      <w:pPr>
        <w:pStyle w:val="a3"/>
        <w:snapToGrid w:val="0"/>
        <w:spacing w:line="500" w:lineRule="exact"/>
        <w:ind w:firstLineChars="0" w:firstLine="473"/>
        <w:rPr>
          <w:rFonts w:ascii="仿宋_GB2312" w:eastAsia="仿宋_GB2312" w:hAnsi="??" w:hint="eastAsia"/>
          <w:color w:val="auto"/>
          <w:sz w:val="28"/>
          <w:szCs w:val="28"/>
        </w:rPr>
      </w:pPr>
      <w:r>
        <w:rPr>
          <w:rFonts w:ascii="仿宋_GB2312" w:eastAsia="仿宋_GB2312" w:hAnsi="??" w:hint="eastAsia"/>
          <w:color w:val="auto"/>
          <w:sz w:val="28"/>
          <w:szCs w:val="28"/>
        </w:rPr>
        <w:t>符合学位授予条件者，经学校学位委员会审议，授予工学学士学位。</w:t>
      </w:r>
    </w:p>
    <w:p w:rsidR="00AE6964" w:rsidRDefault="00AE6964" w:rsidP="00AE6964">
      <w:pPr>
        <w:spacing w:afterLines="50" w:after="156" w:line="360" w:lineRule="exact"/>
        <w:ind w:firstLineChars="200" w:firstLine="560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六、学分分配表   </w:t>
      </w:r>
    </w:p>
    <w:tbl>
      <w:tblPr>
        <w:tblpPr w:leftFromText="180" w:rightFromText="180" w:vertAnchor="text" w:horzAnchor="margin" w:tblpXSpec="center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  <w:gridCol w:w="1877"/>
        <w:gridCol w:w="1564"/>
        <w:gridCol w:w="690"/>
        <w:gridCol w:w="728"/>
        <w:gridCol w:w="810"/>
        <w:gridCol w:w="891"/>
      </w:tblGrid>
      <w:tr w:rsidR="00AE6964" w:rsidTr="00AE6964">
        <w:trPr>
          <w:trHeight w:val="270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课程体系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学分与比例</w:t>
            </w:r>
          </w:p>
        </w:tc>
      </w:tr>
      <w:tr w:rsidR="00AE6964" w:rsidTr="00AE6964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</w:t>
            </w:r>
          </w:p>
        </w:tc>
      </w:tr>
      <w:tr w:rsidR="00AE6964" w:rsidTr="00AE6964">
        <w:trPr>
          <w:trHeight w:val="2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政治素养课组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28%</w:t>
            </w:r>
          </w:p>
        </w:tc>
      </w:tr>
      <w:tr w:rsidR="00AE6964" w:rsidTr="00AE696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文化艺术课组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身心健康课组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传统文化课组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7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核心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专业核心课组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60%</w:t>
            </w:r>
          </w:p>
        </w:tc>
      </w:tr>
      <w:tr w:rsidR="00AE6964" w:rsidTr="00AE696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拓展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专业选修课组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必修课实践教学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</w:tr>
      <w:tr w:rsidR="00AE6964" w:rsidTr="00AE6964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军训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实验（实训）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30%</w:t>
            </w:r>
          </w:p>
        </w:tc>
      </w:tr>
      <w:tr w:rsidR="00AE6964" w:rsidTr="00AE696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综合实验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专业见习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金工实习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课程论文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专业实习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6964" w:rsidTr="00AE6964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snapToGrid w:val="0"/>
              <w:spacing w:line="240" w:lineRule="exac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4" w:rsidRDefault="00AE696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E6964" w:rsidRDefault="00AE6964" w:rsidP="00AE6964">
      <w:pPr>
        <w:rPr>
          <w:rFonts w:ascii="黑体" w:eastAsia="黑体" w:hAnsi="宋体" w:cs="黑体" w:hint="eastAsia"/>
          <w:sz w:val="24"/>
          <w:szCs w:val="24"/>
        </w:rPr>
      </w:pPr>
    </w:p>
    <w:p w:rsidR="00AE6964" w:rsidRDefault="00AE6964" w:rsidP="00AE6964">
      <w:pPr>
        <w:ind w:firstLineChars="200" w:firstLine="482"/>
        <w:rPr>
          <w:rFonts w:ascii="宋体" w:hint="eastAsia"/>
          <w:sz w:val="18"/>
          <w:szCs w:val="18"/>
        </w:rPr>
      </w:pPr>
      <w:r>
        <w:rPr>
          <w:rFonts w:ascii="楷体" w:eastAsia="楷体" w:hAnsi="楷体" w:cs="宋体" w:hint="eastAsia"/>
          <w:b/>
          <w:kern w:val="0"/>
          <w:sz w:val="24"/>
        </w:rPr>
        <w:t>说明</w:t>
      </w:r>
      <w:r>
        <w:rPr>
          <w:rFonts w:ascii="楷体" w:eastAsia="楷体" w:hAnsi="楷体" w:cs="宋体" w:hint="eastAsia"/>
          <w:kern w:val="0"/>
          <w:sz w:val="24"/>
        </w:rPr>
        <w:t>：表中通识必修课程模块的45学分中，含通</w:t>
      </w:r>
      <w:proofErr w:type="gramStart"/>
      <w:r>
        <w:rPr>
          <w:rFonts w:ascii="楷体" w:eastAsia="楷体" w:hAnsi="楷体" w:cs="宋体" w:hint="eastAsia"/>
          <w:kern w:val="0"/>
          <w:sz w:val="24"/>
        </w:rPr>
        <w:t>识实践</w:t>
      </w:r>
      <w:proofErr w:type="gramEnd"/>
      <w:r>
        <w:rPr>
          <w:rFonts w:ascii="楷体" w:eastAsia="楷体" w:hAnsi="楷体" w:cs="宋体" w:hint="eastAsia"/>
          <w:kern w:val="0"/>
          <w:sz w:val="24"/>
        </w:rPr>
        <w:t>模块中必修课程实践教学的15.5学分；专业教育平台的96学分中，含专业实践模块实验的30学分。</w:t>
      </w:r>
    </w:p>
    <w:p w:rsidR="00AE6964" w:rsidRDefault="00AE6964" w:rsidP="00AE6964">
      <w:pPr>
        <w:rPr>
          <w:rFonts w:ascii="楷体" w:eastAsia="楷体" w:hAnsi="楷体" w:cs="宋体" w:hint="eastAsia"/>
          <w:b/>
          <w:kern w:val="0"/>
          <w:sz w:val="24"/>
        </w:rPr>
      </w:pPr>
    </w:p>
    <w:p w:rsidR="00A95650" w:rsidRPr="00AE6964" w:rsidRDefault="00A95650">
      <w:bookmarkStart w:id="0" w:name="_GoBack"/>
      <w:bookmarkEnd w:id="0"/>
    </w:p>
    <w:sectPr w:rsidR="00A95650" w:rsidRPr="00AE6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64"/>
    <w:rsid w:val="00A95650"/>
    <w:rsid w:val="00A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9E770-B53E-4D9B-984E-686E969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9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6964"/>
    <w:pPr>
      <w:spacing w:line="300" w:lineRule="auto"/>
      <w:ind w:firstLineChars="200" w:firstLine="420"/>
      <w:jc w:val="left"/>
    </w:pPr>
    <w:rPr>
      <w:rFonts w:ascii="宋体" w:hAnsi="宋体" w:cs="宋体"/>
      <w:color w:val="0000FF"/>
      <w:kern w:val="0"/>
    </w:rPr>
  </w:style>
  <w:style w:type="character" w:customStyle="1" w:styleId="a4">
    <w:name w:val="正文文本缩进 字符"/>
    <w:basedOn w:val="a0"/>
    <w:link w:val="a3"/>
    <w:uiPriority w:val="99"/>
    <w:semiHidden/>
    <w:rsid w:val="00AE6964"/>
    <w:rPr>
      <w:rFonts w:ascii="宋体" w:eastAsia="宋体" w:hAnsi="宋体" w:cs="宋体"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1140289568@qq.com</dc:creator>
  <cp:keywords/>
  <dc:description/>
  <cp:lastModifiedBy>1140289568@qq.com</cp:lastModifiedBy>
  <cp:revision>1</cp:revision>
  <dcterms:created xsi:type="dcterms:W3CDTF">2018-04-17T12:57:00Z</dcterms:created>
  <dcterms:modified xsi:type="dcterms:W3CDTF">2018-04-17T12:57:00Z</dcterms:modified>
</cp:coreProperties>
</file>