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4" w:rsidRDefault="004F4921">
      <w:pPr>
        <w:spacing w:line="300" w:lineRule="auto"/>
        <w:ind w:firstLineChars="200" w:firstLine="720"/>
        <w:jc w:val="center"/>
        <w:rPr>
          <w:rFonts w:ascii="黑体" w:eastAsia="黑体" w:hAnsi="宋体" w:hint="eastAsia"/>
          <w:color w:val="33CCCC"/>
          <w:sz w:val="36"/>
        </w:rPr>
      </w:pPr>
      <w:r>
        <w:rPr>
          <w:rFonts w:ascii="黑体" w:eastAsia="黑体" w:hAnsi="宋体" w:hint="eastAsia"/>
          <w:sz w:val="36"/>
        </w:rPr>
        <w:t>智能制造</w:t>
      </w:r>
      <w:r w:rsidR="007348D4">
        <w:rPr>
          <w:rFonts w:ascii="黑体" w:eastAsia="黑体" w:hAnsi="宋体" w:hint="eastAsia"/>
          <w:sz w:val="36"/>
        </w:rPr>
        <w:t>专业人才培养方案</w:t>
      </w:r>
    </w:p>
    <w:p w:rsidR="004F4921" w:rsidRDefault="004F4921" w:rsidP="004F4921">
      <w:pPr>
        <w:spacing w:line="300" w:lineRule="auto"/>
        <w:ind w:firstLineChars="200" w:firstLine="5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I</w:t>
      </w:r>
      <w:r w:rsidRPr="004F4921">
        <w:rPr>
          <w:sz w:val="28"/>
        </w:rPr>
        <w:t xml:space="preserve">ntelligent </w:t>
      </w:r>
      <w:r>
        <w:rPr>
          <w:rFonts w:hint="eastAsia"/>
          <w:sz w:val="28"/>
        </w:rPr>
        <w:t>M</w:t>
      </w:r>
      <w:r w:rsidRPr="004F4921">
        <w:rPr>
          <w:sz w:val="28"/>
        </w:rPr>
        <w:t>anufacture</w:t>
      </w:r>
    </w:p>
    <w:p w:rsidR="007348D4" w:rsidRDefault="007348D4" w:rsidP="004F4921">
      <w:pPr>
        <w:spacing w:line="300" w:lineRule="auto"/>
        <w:ind w:firstLineChars="200" w:firstLine="560"/>
        <w:jc w:val="center"/>
        <w:rPr>
          <w:rFonts w:hint="eastAsia"/>
          <w:sz w:val="28"/>
        </w:rPr>
      </w:pPr>
      <w:r>
        <w:rPr>
          <w:rFonts w:ascii="黑体" w:eastAsia="黑体" w:hAnsi="宋体" w:hint="eastAsia"/>
          <w:sz w:val="28"/>
        </w:rPr>
        <w:t>专业代码：</w:t>
      </w:r>
    </w:p>
    <w:p w:rsidR="007348D4" w:rsidRDefault="007348D4">
      <w:pPr>
        <w:spacing w:line="300" w:lineRule="auto"/>
        <w:jc w:val="center"/>
        <w:rPr>
          <w:rFonts w:ascii="宋体" w:hAnsi="宋体" w:hint="eastAsia"/>
        </w:rPr>
      </w:pPr>
      <w:r>
        <w:rPr>
          <w:rFonts w:eastAsia="仿宋_GB2312" w:hint="eastAsia"/>
          <w:sz w:val="24"/>
        </w:rPr>
        <w:t>培养方案修订负责人：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王强德</w:t>
      </w:r>
      <w:r>
        <w:rPr>
          <w:rFonts w:eastAsia="仿宋_GB2312" w:hint="eastAsia"/>
          <w:sz w:val="24"/>
        </w:rPr>
        <w:t xml:space="preserve">       </w:t>
      </w:r>
      <w:r>
        <w:rPr>
          <w:rFonts w:eastAsia="仿宋_GB2312" w:hint="eastAsia"/>
          <w:sz w:val="24"/>
        </w:rPr>
        <w:t>方案写作执笔人：张立华，王强德</w:t>
      </w:r>
    </w:p>
    <w:p w:rsidR="007348D4" w:rsidRDefault="007348D4">
      <w:pPr>
        <w:spacing w:line="300" w:lineRule="auto"/>
        <w:ind w:firstLineChars="200" w:firstLine="480"/>
        <w:jc w:val="left"/>
        <w:rPr>
          <w:rFonts w:ascii="宋体" w:hAnsi="宋体" w:hint="eastAsia"/>
          <w:color w:val="33CCCC"/>
          <w:sz w:val="24"/>
        </w:rPr>
      </w:pPr>
    </w:p>
    <w:p w:rsidR="007348D4" w:rsidRDefault="00A2652E">
      <w:pPr>
        <w:spacing w:line="30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为引领新常态</w:t>
      </w:r>
      <w:r w:rsidR="001D4361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按照国家“中国智能制造2025”大战略，</w:t>
      </w:r>
      <w:r w:rsidR="00E721D2">
        <w:rPr>
          <w:rFonts w:ascii="宋体" w:hAnsi="宋体" w:hint="eastAsia"/>
          <w:sz w:val="24"/>
        </w:rPr>
        <w:t>依托自动化专业、机械设计专业、计算机专业，采用学校+智能园区产学研培养模式，设立智能制造专业。</w:t>
      </w:r>
      <w:r w:rsidR="00DF66AF">
        <w:rPr>
          <w:rFonts w:ascii="宋体" w:hAnsi="宋体" w:hint="eastAsia"/>
          <w:sz w:val="24"/>
        </w:rPr>
        <w:t>本专业</w:t>
      </w:r>
      <w:r w:rsidR="001D4361">
        <w:rPr>
          <w:rFonts w:ascii="宋体" w:hAnsi="宋体" w:hint="eastAsia"/>
          <w:sz w:val="24"/>
        </w:rPr>
        <w:t>培养具有</w:t>
      </w:r>
      <w:r w:rsidR="00DF66AF">
        <w:rPr>
          <w:rFonts w:ascii="宋体" w:hAnsi="宋体" w:hint="eastAsia"/>
          <w:sz w:val="24"/>
        </w:rPr>
        <w:t>机器人、智能设备和信息化技术融合起来，为企业解决从产品设计到制造，应用智能技术，实现数字化车间建设目标的复合型专业人才。</w:t>
      </w:r>
    </w:p>
    <w:p w:rsidR="007348D4" w:rsidRDefault="007348D4">
      <w:pPr>
        <w:spacing w:line="300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一、专业培养目标与要求</w:t>
      </w:r>
    </w:p>
    <w:p w:rsidR="007348D4" w:rsidRDefault="007348D4">
      <w:pPr>
        <w:spacing w:line="30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（一）培养目标</w:t>
      </w:r>
    </w:p>
    <w:p w:rsidR="004C425B" w:rsidRDefault="007348D4" w:rsidP="004D09B5">
      <w:pPr>
        <w:pStyle w:val="a5"/>
        <w:ind w:firstLine="480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</w:rPr>
        <w:t>本专业培养专业知识、实践能力、综合素质全面发展，</w:t>
      </w:r>
      <w:r w:rsidR="004D09B5" w:rsidRPr="008B6736">
        <w:rPr>
          <w:rFonts w:hint="eastAsia"/>
          <w:color w:val="000000"/>
          <w:sz w:val="24"/>
        </w:rPr>
        <w:t>具有</w:t>
      </w:r>
      <w:r w:rsidR="00DF66AF">
        <w:rPr>
          <w:rFonts w:hint="eastAsia"/>
          <w:color w:val="000000"/>
          <w:sz w:val="24"/>
        </w:rPr>
        <w:t>智能制造</w:t>
      </w:r>
      <w:r w:rsidR="004D09B5" w:rsidRPr="008B6736">
        <w:rPr>
          <w:rFonts w:hint="eastAsia"/>
          <w:color w:val="000000"/>
          <w:sz w:val="24"/>
        </w:rPr>
        <w:t>的基础知识、基本技能并能进行相应的</w:t>
      </w:r>
      <w:r w:rsidR="00DF66AF">
        <w:rPr>
          <w:rFonts w:hint="eastAsia"/>
          <w:color w:val="000000"/>
          <w:sz w:val="24"/>
        </w:rPr>
        <w:t>智能制造系统的开发能力</w:t>
      </w:r>
      <w:r w:rsidR="004D09B5" w:rsidRPr="008B6736">
        <w:rPr>
          <w:rFonts w:hint="eastAsia"/>
          <w:color w:val="000000"/>
          <w:sz w:val="24"/>
        </w:rPr>
        <w:t>；具有</w:t>
      </w:r>
      <w:r w:rsidR="004C425B">
        <w:rPr>
          <w:rFonts w:hint="eastAsia"/>
          <w:color w:val="000000"/>
          <w:sz w:val="24"/>
        </w:rPr>
        <w:t>模块化</w:t>
      </w:r>
      <w:r w:rsidR="004D09B5" w:rsidRPr="008B6736">
        <w:rPr>
          <w:rFonts w:hint="eastAsia"/>
          <w:color w:val="000000"/>
          <w:sz w:val="24"/>
        </w:rPr>
        <w:t>、嵌入式微处理器、嵌入式集成系统等硬件知识并能进行一定的硬件开发的能力；具有</w:t>
      </w:r>
      <w:r w:rsidR="004C425B">
        <w:rPr>
          <w:rFonts w:hint="eastAsia"/>
          <w:color w:val="000000"/>
          <w:sz w:val="24"/>
        </w:rPr>
        <w:t>先进控制与优化技术</w:t>
      </w:r>
      <w:r w:rsidR="004D09B5" w:rsidRPr="008B6736">
        <w:rPr>
          <w:rFonts w:hint="eastAsia"/>
          <w:color w:val="000000"/>
          <w:sz w:val="24"/>
        </w:rPr>
        <w:t>等方面的专业知识和专业技能；能在</w:t>
      </w:r>
      <w:r w:rsidR="004C425B">
        <w:rPr>
          <w:rFonts w:hint="eastAsia"/>
          <w:color w:val="000000"/>
          <w:sz w:val="24"/>
        </w:rPr>
        <w:t>智能制造</w:t>
      </w:r>
      <w:r w:rsidR="004D09B5" w:rsidRPr="008B6736">
        <w:rPr>
          <w:rFonts w:hint="eastAsia"/>
          <w:color w:val="000000"/>
          <w:sz w:val="24"/>
        </w:rPr>
        <w:t>应用领域从事技术开发和管理工作的宽口径、高素质、复合型应用性专业人才</w:t>
      </w:r>
      <w:r w:rsidRPr="008B6736">
        <w:rPr>
          <w:rFonts w:hint="eastAsia"/>
          <w:color w:val="000000"/>
          <w:sz w:val="24"/>
        </w:rPr>
        <w:t>。</w:t>
      </w:r>
    </w:p>
    <w:p w:rsidR="004C425B" w:rsidRDefault="004C425B" w:rsidP="004D09B5">
      <w:pPr>
        <w:pStyle w:val="a5"/>
        <w:ind w:firstLine="480"/>
        <w:rPr>
          <w:rFonts w:hint="eastAsia"/>
          <w:color w:val="000000"/>
          <w:sz w:val="24"/>
        </w:rPr>
      </w:pPr>
    </w:p>
    <w:p w:rsidR="007348D4" w:rsidRDefault="007348D4">
      <w:pPr>
        <w:spacing w:line="300" w:lineRule="auto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（二）培养要求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本专业学生主要学习</w:t>
      </w:r>
      <w:r w:rsidR="004C425B">
        <w:rPr>
          <w:rFonts w:hint="eastAsia"/>
          <w:sz w:val="24"/>
        </w:rPr>
        <w:t>智能制造相关</w:t>
      </w:r>
      <w:r>
        <w:rPr>
          <w:rFonts w:hint="eastAsia"/>
          <w:sz w:val="24"/>
        </w:rPr>
        <w:t>的基础理论和基本知识，接受</w:t>
      </w:r>
      <w:r w:rsidR="004C425B">
        <w:rPr>
          <w:rFonts w:hint="eastAsia"/>
          <w:sz w:val="24"/>
        </w:rPr>
        <w:t>智能制造</w:t>
      </w:r>
      <w:r w:rsidR="00AD3E2E">
        <w:rPr>
          <w:rFonts w:hint="eastAsia"/>
          <w:sz w:val="24"/>
        </w:rPr>
        <w:t>系统开发</w:t>
      </w:r>
      <w:r>
        <w:rPr>
          <w:rFonts w:hint="eastAsia"/>
          <w:sz w:val="24"/>
        </w:rPr>
        <w:t>的基本方法及其解决实际工程问题的基本训练，具有</w:t>
      </w:r>
      <w:r w:rsidR="00AD3E2E">
        <w:rPr>
          <w:rFonts w:hint="eastAsia"/>
          <w:sz w:val="24"/>
        </w:rPr>
        <w:t>系统软、硬件</w:t>
      </w:r>
      <w:r>
        <w:rPr>
          <w:rFonts w:hint="eastAsia"/>
          <w:sz w:val="24"/>
        </w:rPr>
        <w:t>设计与研究方面的基本能力。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毕业生应获得以下几个方面的知识和能力：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．具备马克思主义的立场与观点，能够透彻理解与坚决贯彻落实国家的大政方针，拥护中国共产党，热爱祖国，关爱民生。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．具备正确的人生观与价值观，养成良好的道德情操和个人行为规范，具有团结协作、诚信守法、公平竞争的意识，有社会责任感，乐于奉献。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．掌握从事</w:t>
      </w:r>
      <w:r w:rsidR="004C425B">
        <w:rPr>
          <w:rFonts w:hAnsi="宋体" w:hint="eastAsia"/>
          <w:sz w:val="24"/>
        </w:rPr>
        <w:t>智能制造</w:t>
      </w:r>
      <w:r w:rsidR="00AD3E2E">
        <w:rPr>
          <w:rFonts w:hAnsi="宋体" w:hint="eastAsia"/>
          <w:sz w:val="24"/>
        </w:rPr>
        <w:t>软硬件开发</w:t>
      </w:r>
      <w:r>
        <w:rPr>
          <w:rFonts w:hAnsi="宋体" w:hint="eastAsia"/>
          <w:sz w:val="24"/>
        </w:rPr>
        <w:t>所需的数学、物理等自然科学知识，以及电子电气、计算机与通信等技术基础知识，具有初步的工程经济、管理、社会学、法律、环境保护等人文与社会学的知识。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．</w:t>
      </w:r>
      <w:r w:rsidR="00AD3E2E" w:rsidRPr="00AD3E2E">
        <w:rPr>
          <w:rFonts w:hAnsi="宋体" w:hint="eastAsia"/>
          <w:sz w:val="24"/>
        </w:rPr>
        <w:t>具有宽厚坚实的专业技术理论基础知识，主要包括电子技术、</w:t>
      </w:r>
      <w:r w:rsidR="00AD3E2E" w:rsidRPr="00AD3E2E">
        <w:rPr>
          <w:rFonts w:hAnsi="宋体" w:hint="eastAsia"/>
          <w:sz w:val="24"/>
        </w:rPr>
        <w:t>ARM</w:t>
      </w:r>
      <w:r w:rsidR="00AD3E2E" w:rsidRPr="00AD3E2E">
        <w:rPr>
          <w:rFonts w:hAnsi="宋体" w:hint="eastAsia"/>
          <w:sz w:val="24"/>
        </w:rPr>
        <w:t>体系结构分析、</w:t>
      </w:r>
      <w:r w:rsidR="004C425B" w:rsidRPr="004C425B">
        <w:rPr>
          <w:rFonts w:hAnsi="宋体" w:hint="eastAsia"/>
          <w:sz w:val="24"/>
        </w:rPr>
        <w:t>传感器与检测技术、无线传感器网络、</w:t>
      </w:r>
      <w:r w:rsidR="004C425B" w:rsidRPr="004C425B">
        <w:rPr>
          <w:rFonts w:hAnsi="宋体" w:hint="eastAsia"/>
          <w:sz w:val="24"/>
        </w:rPr>
        <w:t>RFID</w:t>
      </w:r>
      <w:r w:rsidR="004C425B" w:rsidRPr="004C425B">
        <w:rPr>
          <w:rFonts w:hAnsi="宋体" w:hint="eastAsia"/>
          <w:sz w:val="24"/>
        </w:rPr>
        <w:t>原理、计算机网络、通信原理、</w:t>
      </w:r>
      <w:r w:rsidR="00D917C0">
        <w:rPr>
          <w:rFonts w:hAnsi="宋体" w:hint="eastAsia"/>
          <w:sz w:val="24"/>
        </w:rPr>
        <w:t>人工智能</w:t>
      </w:r>
      <w:r w:rsidR="004C425B" w:rsidRPr="004C425B">
        <w:rPr>
          <w:rFonts w:hAnsi="宋体" w:hint="eastAsia"/>
          <w:sz w:val="24"/>
        </w:rPr>
        <w:t>、云计算、信息安全</w:t>
      </w:r>
      <w:r w:rsidR="00D917C0">
        <w:rPr>
          <w:rFonts w:hAnsi="宋体" w:hint="eastAsia"/>
          <w:sz w:val="24"/>
        </w:rPr>
        <w:t>、</w:t>
      </w:r>
      <w:r w:rsidR="00D917C0" w:rsidRPr="00AD3E2E">
        <w:rPr>
          <w:rFonts w:hAnsi="宋体" w:hint="eastAsia"/>
          <w:sz w:val="24"/>
        </w:rPr>
        <w:t>嵌入式操作系统（</w:t>
      </w:r>
      <w:proofErr w:type="spellStart"/>
      <w:r w:rsidR="00D917C0" w:rsidRPr="00AD3E2E">
        <w:rPr>
          <w:rFonts w:hAnsi="宋体" w:hint="eastAsia"/>
          <w:sz w:val="24"/>
        </w:rPr>
        <w:t>linux</w:t>
      </w:r>
      <w:proofErr w:type="spellEnd"/>
      <w:r w:rsidR="00D917C0" w:rsidRPr="00AD3E2E">
        <w:rPr>
          <w:rFonts w:hAnsi="宋体" w:hint="eastAsia"/>
          <w:sz w:val="24"/>
        </w:rPr>
        <w:t>、</w:t>
      </w:r>
      <w:r w:rsidR="00D917C0" w:rsidRPr="00AD3E2E">
        <w:rPr>
          <w:rFonts w:hAnsi="宋体"/>
          <w:i/>
          <w:iCs/>
          <w:sz w:val="24"/>
        </w:rPr>
        <w:t>OSC</w:t>
      </w:r>
      <w:r w:rsidR="00D917C0" w:rsidRPr="00AD3E2E">
        <w:rPr>
          <w:rFonts w:hAnsi="宋体" w:hint="eastAsia"/>
          <w:i/>
          <w:iCs/>
          <w:sz w:val="24"/>
        </w:rPr>
        <w:sym w:font="Symbol" w:char="F06D"/>
      </w:r>
      <w:r w:rsidR="00D917C0" w:rsidRPr="00AD3E2E">
        <w:rPr>
          <w:rFonts w:hAnsi="宋体" w:hint="eastAsia"/>
          <w:sz w:val="24"/>
        </w:rPr>
        <w:t>、</w:t>
      </w:r>
      <w:r w:rsidR="00D917C0" w:rsidRPr="00AD3E2E">
        <w:rPr>
          <w:rFonts w:hAnsi="宋体" w:hint="eastAsia"/>
          <w:sz w:val="24"/>
        </w:rPr>
        <w:t>Windows</w:t>
      </w:r>
      <w:r w:rsidR="00D917C0" w:rsidRPr="00AD3E2E">
        <w:rPr>
          <w:rFonts w:hAnsi="宋体" w:hint="eastAsia"/>
          <w:sz w:val="24"/>
        </w:rPr>
        <w:t>和</w:t>
      </w:r>
      <w:r w:rsidR="00D917C0" w:rsidRPr="00AD3E2E">
        <w:rPr>
          <w:rFonts w:hAnsi="宋体" w:hint="eastAsia"/>
          <w:sz w:val="24"/>
        </w:rPr>
        <w:t>QNX</w:t>
      </w:r>
      <w:r w:rsidR="00D917C0">
        <w:rPr>
          <w:rFonts w:hAnsi="宋体" w:hint="eastAsia"/>
          <w:sz w:val="24"/>
        </w:rPr>
        <w:t>）等知识。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．掌握</w:t>
      </w:r>
      <w:r w:rsidR="00D917C0">
        <w:rPr>
          <w:rFonts w:hAnsi="宋体" w:hint="eastAsia"/>
          <w:sz w:val="24"/>
        </w:rPr>
        <w:t>智能制造</w:t>
      </w:r>
      <w:r>
        <w:rPr>
          <w:rFonts w:hAnsi="宋体" w:hint="eastAsia"/>
          <w:sz w:val="24"/>
        </w:rPr>
        <w:t>分析和设计的一般方法，具有较熟练地解决工程现场一般控制系统问题的能力，具有独立从事工程实际中控制系统的运行、管理与维护的基本能力。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．具有对</w:t>
      </w:r>
      <w:r w:rsidR="00D917C0">
        <w:rPr>
          <w:rFonts w:hAnsi="宋体" w:hint="eastAsia"/>
          <w:sz w:val="24"/>
        </w:rPr>
        <w:t>智能制造系统</w:t>
      </w:r>
      <w:r>
        <w:rPr>
          <w:rFonts w:hAnsi="宋体" w:hint="eastAsia"/>
          <w:sz w:val="24"/>
        </w:rPr>
        <w:t>中技术进行分析、改进、优化和独立设计的能力。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lastRenderedPageBreak/>
        <w:t>7</w:t>
      </w:r>
      <w:r>
        <w:rPr>
          <w:rFonts w:hAnsi="宋体" w:hint="eastAsia"/>
          <w:sz w:val="24"/>
        </w:rPr>
        <w:t>．受到相应的学术研究训练，掌握基本的研究方法，有明确的学术追求，有创新意识和创造精神和科学研究的能力。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．至少掌握一门外语，能熟练阅读本专业外文文献。能够在本学科及相关学科领域中继续培养深造。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9</w:t>
      </w:r>
      <w:r>
        <w:rPr>
          <w:rFonts w:hAnsi="宋体" w:hint="eastAsia"/>
          <w:sz w:val="24"/>
        </w:rPr>
        <w:t>．具有较扎实的自然科学基础，具备应有的传统文化知识，继承祖国传统文化的优秀因子，养成健康、高尚的审美观念和审美能力，形成具有传统文化底蕴与现代精神的健全人格。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10</w:t>
      </w:r>
      <w:r>
        <w:rPr>
          <w:rFonts w:hAnsi="宋体" w:hint="eastAsia"/>
          <w:sz w:val="24"/>
        </w:rPr>
        <w:t>．具备健康的体魄和良好的心理素质，能够承受来自工作、生活的各种压力，具有较强的适应新环境的能力，能够文明、快乐、充实地工作、学习、生活。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11</w:t>
      </w:r>
      <w:r>
        <w:rPr>
          <w:rFonts w:hAnsi="宋体" w:hint="eastAsia"/>
          <w:sz w:val="24"/>
        </w:rPr>
        <w:t>．具有良好的职业道德、敬业精神和社会责任感。</w:t>
      </w:r>
    </w:p>
    <w:p w:rsidR="007348D4" w:rsidRDefault="007348D4">
      <w:pPr>
        <w:spacing w:line="300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二、学制与修业年限</w:t>
      </w:r>
    </w:p>
    <w:p w:rsidR="007348D4" w:rsidRDefault="007348D4">
      <w:pPr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学制四年。实行</w:t>
      </w:r>
      <w:r>
        <w:rPr>
          <w:rFonts w:ascii="宋体" w:hAnsi="宋体"/>
          <w:sz w:val="24"/>
        </w:rPr>
        <w:t>弹性学制，</w:t>
      </w:r>
      <w:r>
        <w:rPr>
          <w:rFonts w:ascii="宋体" w:hAnsi="宋体" w:hint="eastAsia"/>
          <w:sz w:val="24"/>
        </w:rPr>
        <w:t>修业年限3～8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必须修够规定的学分</w:t>
      </w:r>
      <w:r>
        <w:rPr>
          <w:rFonts w:ascii="宋体" w:hAnsi="宋体" w:hint="eastAsia"/>
          <w:sz w:val="24"/>
        </w:rPr>
        <w:t>方能毕业</w:t>
      </w:r>
      <w:r>
        <w:rPr>
          <w:rFonts w:ascii="宋体" w:hAnsi="宋体"/>
          <w:sz w:val="24"/>
        </w:rPr>
        <w:t>。</w:t>
      </w:r>
    </w:p>
    <w:p w:rsidR="007348D4" w:rsidRDefault="007348D4">
      <w:pPr>
        <w:spacing w:line="300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三、主干课程及主要专业实验</w:t>
      </w:r>
    </w:p>
    <w:p w:rsidR="007348D4" w:rsidRDefault="007348D4">
      <w:pPr>
        <w:spacing w:line="300" w:lineRule="auto"/>
        <w:ind w:firstLineChars="200" w:firstLine="480"/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（一）主干课程</w:t>
      </w:r>
    </w:p>
    <w:p w:rsidR="007348D4" w:rsidRDefault="007348D4">
      <w:pPr>
        <w:pStyle w:val="Default"/>
        <w:rPr>
          <w:rFonts w:ascii="宋体" w:hAnsi="宋体" w:hint="eastAsia"/>
        </w:rPr>
      </w:pPr>
      <w:r>
        <w:rPr>
          <w:rFonts w:ascii="宋体" w:hAnsi="宋体" w:hint="eastAsia"/>
        </w:rPr>
        <w:t>电路Electric Circuit、模拟电子技术基础</w:t>
      </w:r>
      <w:proofErr w:type="spellStart"/>
      <w:r>
        <w:rPr>
          <w:rFonts w:ascii="宋体" w:hAnsi="宋体" w:hint="eastAsia"/>
        </w:rPr>
        <w:t>Fundementals</w:t>
      </w:r>
      <w:proofErr w:type="spellEnd"/>
      <w:r>
        <w:rPr>
          <w:rFonts w:ascii="宋体" w:hAnsi="宋体" w:hint="eastAsia"/>
        </w:rPr>
        <w:t xml:space="preserve"> of Analog Circuit、数字电子技术基础</w:t>
      </w:r>
      <w:proofErr w:type="spellStart"/>
      <w:r>
        <w:rPr>
          <w:rFonts w:ascii="宋体" w:hAnsi="宋体" w:hint="eastAsia"/>
        </w:rPr>
        <w:t>fundmentals</w:t>
      </w:r>
      <w:proofErr w:type="spellEnd"/>
      <w:r>
        <w:rPr>
          <w:rFonts w:ascii="宋体" w:hAnsi="宋体" w:hint="eastAsia"/>
        </w:rPr>
        <w:t xml:space="preserve"> of </w:t>
      </w:r>
      <w:proofErr w:type="spellStart"/>
      <w:r>
        <w:rPr>
          <w:rFonts w:ascii="宋体" w:hAnsi="宋体" w:hint="eastAsia"/>
        </w:rPr>
        <w:t>Digtal</w:t>
      </w:r>
      <w:proofErr w:type="spellEnd"/>
      <w:r>
        <w:rPr>
          <w:rFonts w:ascii="宋体" w:hAnsi="宋体" w:hint="eastAsia"/>
        </w:rPr>
        <w:t xml:space="preserve"> Circuit、微机原理及应用Principle &amp; Application of Microcomputer、自动控制原理</w:t>
      </w:r>
      <w:r>
        <w:rPr>
          <w:rFonts w:ascii="宋体" w:hAnsi="宋体"/>
        </w:rPr>
        <w:t xml:space="preserve">Principles of Automatic Control </w:t>
      </w:r>
      <w:r>
        <w:rPr>
          <w:rFonts w:ascii="宋体" w:hAnsi="宋体" w:hint="eastAsia"/>
        </w:rPr>
        <w:t>、信号与系统</w:t>
      </w:r>
      <w:bookmarkStart w:id="0" w:name="OLE_LINK28"/>
      <w:bookmarkStart w:id="1" w:name="OLE_LINK29"/>
      <w:r>
        <w:rPr>
          <w:rFonts w:ascii="宋体" w:hAnsi="宋体"/>
        </w:rPr>
        <w:t>Signals and Systems</w:t>
      </w:r>
      <w:bookmarkEnd w:id="0"/>
      <w:bookmarkEnd w:id="1"/>
      <w:r>
        <w:rPr>
          <w:rFonts w:ascii="宋体" w:hAnsi="宋体" w:hint="eastAsia"/>
        </w:rPr>
        <w:t>、自动检测技术</w:t>
      </w:r>
      <w:r>
        <w:rPr>
          <w:rFonts w:ascii="宋体" w:hAnsi="宋体"/>
        </w:rPr>
        <w:t xml:space="preserve">Sensors &amp; Testing Technology </w:t>
      </w:r>
      <w:r>
        <w:rPr>
          <w:rFonts w:ascii="宋体" w:hAnsi="宋体" w:hint="eastAsia"/>
        </w:rPr>
        <w:t>、</w:t>
      </w:r>
      <w:r w:rsidR="00212475" w:rsidRPr="00212475">
        <w:rPr>
          <w:rFonts w:ascii="宋体" w:hAnsi="宋体" w:hint="eastAsia"/>
        </w:rPr>
        <w:t>嵌入式驱动程序设计</w:t>
      </w:r>
      <w:r w:rsidR="00212475" w:rsidRPr="00212475">
        <w:rPr>
          <w:rFonts w:ascii="宋体" w:hAnsi="宋体"/>
        </w:rPr>
        <w:t>Driver</w:t>
      </w:r>
      <w:r w:rsidR="00212475">
        <w:rPr>
          <w:rFonts w:ascii="宋体" w:hAnsi="宋体" w:hint="eastAsia"/>
        </w:rPr>
        <w:t xml:space="preserve"> D</w:t>
      </w:r>
      <w:r w:rsidR="00212475" w:rsidRPr="00212475">
        <w:rPr>
          <w:rFonts w:ascii="宋体" w:hAnsi="宋体"/>
        </w:rPr>
        <w:t>esign of</w:t>
      </w:r>
      <w:r w:rsidR="00212475">
        <w:rPr>
          <w:rFonts w:ascii="宋体" w:hAnsi="宋体" w:hint="eastAsia"/>
        </w:rPr>
        <w:t xml:space="preserve"> E</w:t>
      </w:r>
      <w:r w:rsidR="00212475" w:rsidRPr="00212475">
        <w:rPr>
          <w:rFonts w:ascii="宋体" w:hAnsi="宋体"/>
        </w:rPr>
        <w:t>mbedded</w:t>
      </w:r>
      <w:r w:rsidR="00212475">
        <w:rPr>
          <w:rFonts w:ascii="宋体" w:hAnsi="宋体" w:hint="eastAsia"/>
        </w:rPr>
        <w:t xml:space="preserve"> S</w:t>
      </w:r>
      <w:r w:rsidR="00212475" w:rsidRPr="00212475">
        <w:rPr>
          <w:rFonts w:ascii="宋体" w:hAnsi="宋体"/>
        </w:rPr>
        <w:t>ystem</w:t>
      </w:r>
      <w:r w:rsidR="00212475" w:rsidRPr="00212475">
        <w:rPr>
          <w:rFonts w:ascii="宋体" w:hAnsi="宋体" w:hint="eastAsia"/>
        </w:rPr>
        <w:t>、</w:t>
      </w:r>
      <w:r w:rsidR="00D917C0" w:rsidRPr="00D917C0">
        <w:rPr>
          <w:rFonts w:ascii="宋体" w:hAnsi="宋体" w:hint="eastAsia"/>
        </w:rPr>
        <w:t>移动嵌入式系统开发、工业机器人的控制和应用、智能制造信息系统开发、现代计算机视觉学、</w:t>
      </w:r>
      <w:r w:rsidR="00D917C0">
        <w:rPr>
          <w:rFonts w:ascii="宋体" w:hAnsi="宋体" w:hint="eastAsia"/>
        </w:rPr>
        <w:t>电子设计自动化EDA</w:t>
      </w:r>
      <w:r w:rsidR="00D917C0" w:rsidRPr="00212475">
        <w:rPr>
          <w:rFonts w:ascii="宋体" w:hAnsi="宋体" w:hint="eastAsia"/>
        </w:rPr>
        <w:t>等</w:t>
      </w:r>
      <w:r w:rsidR="00D917C0">
        <w:rPr>
          <w:rFonts w:ascii="宋体" w:hAnsi="宋体" w:hint="eastAsia"/>
        </w:rPr>
        <w:t>。</w:t>
      </w:r>
    </w:p>
    <w:p w:rsidR="007348D4" w:rsidRDefault="007348D4">
      <w:pPr>
        <w:spacing w:line="300" w:lineRule="auto"/>
        <w:ind w:firstLineChars="200" w:firstLine="480"/>
        <w:jc w:val="left"/>
        <w:rPr>
          <w:rFonts w:ascii="楷体_GB2312" w:eastAsia="楷体_GB2312" w:hAnsi="宋体"/>
          <w:sz w:val="24"/>
        </w:rPr>
      </w:pPr>
      <w:r>
        <w:rPr>
          <w:rFonts w:ascii="黑体" w:eastAsia="黑体" w:hAnsi="宋体" w:hint="eastAsia"/>
          <w:sz w:val="24"/>
        </w:rPr>
        <w:t>（</w:t>
      </w:r>
      <w:r>
        <w:rPr>
          <w:rFonts w:ascii="楷体_GB2312" w:eastAsia="楷体_GB2312" w:hAnsi="宋体" w:hint="eastAsia"/>
          <w:sz w:val="24"/>
        </w:rPr>
        <w:t>二）主要专业实验</w:t>
      </w:r>
    </w:p>
    <w:p w:rsidR="007348D4" w:rsidRDefault="007348D4" w:rsidP="00212475">
      <w:pPr>
        <w:pStyle w:val="Default"/>
        <w:rPr>
          <w:rFonts w:ascii="宋体" w:hAnsi="宋体" w:hint="eastAsia"/>
        </w:rPr>
      </w:pPr>
      <w:r>
        <w:rPr>
          <w:rFonts w:ascii="宋体" w:hAnsi="宋体" w:hint="eastAsia"/>
        </w:rPr>
        <w:t>电路、数字电子技术基础、模拟电子技术基础、微机原理及应用、单片机原理及应用、自动检测技术、</w:t>
      </w:r>
      <w:r w:rsidR="00212475" w:rsidRPr="00212475">
        <w:rPr>
          <w:rFonts w:ascii="宋体" w:hAnsi="宋体" w:hint="eastAsia"/>
        </w:rPr>
        <w:t>嵌入式系统设计原理及应用、</w:t>
      </w:r>
      <w:r w:rsidR="00D917C0" w:rsidRPr="00D917C0">
        <w:rPr>
          <w:rFonts w:ascii="宋体" w:hAnsi="宋体" w:hint="eastAsia"/>
        </w:rPr>
        <w:t>移动嵌入式系统开发、工业机器人的控制和应用、智能制造信息系统开发、现代计算机视觉学</w:t>
      </w:r>
      <w:r w:rsidR="00212475" w:rsidRPr="00212475">
        <w:rPr>
          <w:rFonts w:ascii="宋体" w:hAnsi="宋体" w:hint="eastAsia"/>
        </w:rPr>
        <w:t>等</w:t>
      </w:r>
      <w:r w:rsidR="00212475">
        <w:rPr>
          <w:rFonts w:ascii="宋体" w:hAnsi="宋体" w:hint="eastAsia"/>
        </w:rPr>
        <w:t>。</w:t>
      </w:r>
    </w:p>
    <w:p w:rsidR="007348D4" w:rsidRDefault="007348D4">
      <w:pPr>
        <w:spacing w:line="300" w:lineRule="auto"/>
        <w:ind w:firstLineChars="200"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四、主要实践教学环节</w:t>
      </w:r>
    </w:p>
    <w:p w:rsidR="007348D4" w:rsidRDefault="007348D4">
      <w:pPr>
        <w:spacing w:line="300" w:lineRule="auto"/>
        <w:rPr>
          <w:rFonts w:ascii="宋体" w:eastAsia="楷体_GB2312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eastAsia="楷体_GB2312" w:hAnsi="宋体" w:hint="eastAsia"/>
          <w:sz w:val="24"/>
        </w:rPr>
        <w:t>（一）</w:t>
      </w:r>
      <w:r>
        <w:rPr>
          <w:rFonts w:eastAsia="楷体_GB2312" w:hint="eastAsia"/>
          <w:sz w:val="24"/>
        </w:rPr>
        <w:t>课程论文（设计）</w:t>
      </w:r>
    </w:p>
    <w:p w:rsidR="007348D4" w:rsidRDefault="007348D4">
      <w:pPr>
        <w:spacing w:line="30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课程论文（设计）是在学习专业课的过程中所进行的实践教学活动，一般依托所学习的某一门课程进行，安排在第3～6学期，要求每人完成2篇，</w:t>
      </w:r>
      <w:r>
        <w:rPr>
          <w:rFonts w:ascii="宋体" w:hAnsi="宋体"/>
          <w:sz w:val="24"/>
        </w:rPr>
        <w:t>完成</w:t>
      </w:r>
      <w:r>
        <w:rPr>
          <w:rFonts w:ascii="宋体" w:hAnsi="宋体" w:hint="eastAsia"/>
          <w:sz w:val="24"/>
        </w:rPr>
        <w:t>并符合</w:t>
      </w:r>
      <w:r>
        <w:rPr>
          <w:rFonts w:ascii="宋体" w:hAnsi="宋体"/>
          <w:sz w:val="24"/>
        </w:rPr>
        <w:t>要求</w:t>
      </w:r>
      <w:r>
        <w:rPr>
          <w:rFonts w:ascii="宋体" w:hAnsi="宋体" w:hint="eastAsia"/>
          <w:sz w:val="24"/>
        </w:rPr>
        <w:t>，每篇1学分，共2学分。</w:t>
      </w:r>
    </w:p>
    <w:p w:rsidR="007348D4" w:rsidRDefault="007348D4">
      <w:pPr>
        <w:spacing w:line="300" w:lineRule="auto"/>
        <w:ind w:firstLine="420"/>
        <w:rPr>
          <w:rFonts w:eastAsia="楷体_GB2312" w:hint="eastAsia"/>
          <w:sz w:val="24"/>
        </w:rPr>
      </w:pPr>
      <w:r>
        <w:rPr>
          <w:rFonts w:ascii="宋体" w:eastAsia="楷体_GB2312" w:hAnsi="宋体" w:hint="eastAsia"/>
          <w:sz w:val="24"/>
        </w:rPr>
        <w:t>（二）</w:t>
      </w:r>
      <w:r>
        <w:rPr>
          <w:rFonts w:eastAsia="楷体_GB2312" w:hint="eastAsia"/>
          <w:sz w:val="24"/>
        </w:rPr>
        <w:t>金工实习</w:t>
      </w:r>
    </w:p>
    <w:p w:rsidR="007348D4" w:rsidRDefault="007348D4">
      <w:pPr>
        <w:spacing w:line="300" w:lineRule="auto"/>
        <w:rPr>
          <w:rFonts w:ascii="宋体" w:eastAsia="楷体_GB2312" w:hAnsi="宋体" w:hint="eastAsia"/>
          <w:sz w:val="24"/>
        </w:rPr>
      </w:pPr>
      <w:r>
        <w:rPr>
          <w:rFonts w:ascii="宋体" w:eastAsia="楷体_GB2312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金工实习是在学习专业课的过程中所进行的实践教学活动，是对所学习的专业内容进行实际考察学习，以培养、锻炼专业能力。安排在第4～6学期进行，用时4～6</w:t>
      </w:r>
      <w:r>
        <w:rPr>
          <w:rFonts w:ascii="宋体" w:hAnsi="宋体"/>
          <w:sz w:val="24"/>
        </w:rPr>
        <w:t>周</w:t>
      </w:r>
      <w:r>
        <w:rPr>
          <w:rFonts w:ascii="宋体" w:hAnsi="宋体" w:hint="eastAsia"/>
          <w:sz w:val="24"/>
        </w:rPr>
        <w:t>，计4学分。</w:t>
      </w:r>
    </w:p>
    <w:p w:rsidR="007348D4" w:rsidRDefault="007348D4">
      <w:pPr>
        <w:spacing w:line="30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黑体" w:eastAsia="黑体" w:hAnsi="宋体" w:hint="eastAsia"/>
          <w:sz w:val="24"/>
        </w:rPr>
        <w:t>（</w:t>
      </w:r>
      <w:r>
        <w:rPr>
          <w:rFonts w:ascii="楷体_GB2312" w:eastAsia="楷体_GB2312" w:hAnsi="宋体" w:hint="eastAsia"/>
          <w:sz w:val="24"/>
        </w:rPr>
        <w:t>三）专业见习</w:t>
      </w:r>
    </w:p>
    <w:p w:rsidR="007348D4" w:rsidRDefault="007348D4">
      <w:pPr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专业实习是重要的实践性教学环节，其目的是全面培养、提升学生的实际工作能力。生产实习一般安排在第8</w:t>
      </w:r>
      <w:r>
        <w:rPr>
          <w:rFonts w:ascii="宋体" w:hAnsi="宋体"/>
          <w:sz w:val="24"/>
        </w:rPr>
        <w:t>学期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用时6至8</w:t>
      </w:r>
      <w:r>
        <w:rPr>
          <w:rFonts w:ascii="宋体" w:hAnsi="宋体"/>
          <w:sz w:val="24"/>
        </w:rPr>
        <w:t>周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完成实习</w:t>
      </w:r>
      <w:r>
        <w:rPr>
          <w:rFonts w:ascii="宋体" w:hAnsi="宋体" w:hint="eastAsia"/>
          <w:sz w:val="24"/>
        </w:rPr>
        <w:t>并符合</w:t>
      </w:r>
      <w:r>
        <w:rPr>
          <w:rFonts w:ascii="宋体" w:hAnsi="宋体"/>
          <w:sz w:val="24"/>
        </w:rPr>
        <w:t>要求，计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学分。</w:t>
      </w:r>
    </w:p>
    <w:p w:rsidR="007348D4" w:rsidRDefault="007348D4">
      <w:pPr>
        <w:spacing w:line="30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（四）毕业论文（设计）</w:t>
      </w:r>
    </w:p>
    <w:p w:rsidR="007348D4" w:rsidRDefault="007348D4">
      <w:pPr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毕业论文（设计）是学程即将结束时培养、检查学生学习成效、工作能力和科研能力重要的实践教学环节，安排在第8</w:t>
      </w:r>
      <w:r>
        <w:rPr>
          <w:rFonts w:ascii="宋体" w:hAnsi="宋体"/>
          <w:sz w:val="24"/>
        </w:rPr>
        <w:t>学期</w:t>
      </w:r>
      <w:r>
        <w:rPr>
          <w:rFonts w:ascii="宋体" w:hAnsi="宋体" w:hint="eastAsia"/>
          <w:sz w:val="24"/>
        </w:rPr>
        <w:t>进行，用时8周。完成并</w:t>
      </w:r>
      <w:r>
        <w:rPr>
          <w:rFonts w:ascii="宋体" w:hAnsi="宋体"/>
          <w:sz w:val="24"/>
        </w:rPr>
        <w:t>符合要求，计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学分。</w:t>
      </w:r>
    </w:p>
    <w:p w:rsidR="007348D4" w:rsidRDefault="007348D4">
      <w:pPr>
        <w:spacing w:line="300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五、学位授予</w:t>
      </w:r>
    </w:p>
    <w:p w:rsidR="007348D4" w:rsidRPr="00D917C0" w:rsidRDefault="007348D4">
      <w:pPr>
        <w:spacing w:line="300" w:lineRule="auto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</w:rPr>
      </w:pPr>
      <w:r w:rsidRPr="00D917C0">
        <w:rPr>
          <w:rFonts w:ascii="宋体" w:hAnsi="宋体" w:hint="eastAsia"/>
          <w:color w:val="000000"/>
          <w:kern w:val="0"/>
          <w:sz w:val="24"/>
        </w:rPr>
        <w:t>工学学士。</w:t>
      </w:r>
    </w:p>
    <w:p w:rsidR="007348D4" w:rsidRDefault="007348D4">
      <w:pPr>
        <w:spacing w:line="300" w:lineRule="auto"/>
        <w:ind w:firstLineChars="200"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六、学时学分分配表</w:t>
      </w:r>
    </w:p>
    <w:p w:rsidR="007348D4" w:rsidRDefault="007348D4">
      <w:pPr>
        <w:spacing w:line="300" w:lineRule="auto"/>
        <w:jc w:val="center"/>
        <w:rPr>
          <w:rFonts w:hint="eastAsia"/>
          <w:sz w:val="24"/>
        </w:rPr>
      </w:pPr>
      <w:r>
        <w:rPr>
          <w:sz w:val="24"/>
        </w:rPr>
        <w:pict>
          <v:line id="Line 3" o:spid="_x0000_s1026" style="position:absolute;left:0;text-align:left;z-index:251658240" from="63pt,7.8pt" to="270pt,7.8pt" stroked="f"/>
        </w:pict>
      </w:r>
      <w:r>
        <w:rPr>
          <w:sz w:val="24"/>
        </w:rPr>
        <w:pict>
          <v:rect id="Rectangle 2" o:spid="_x0000_s1027" style="position:absolute;left:0;text-align:left;margin-left:108pt;margin-top:0;width:18pt;height:7.8pt;z-index:251657216" filled="f" stroked="f"/>
        </w:pic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1  </w:t>
      </w:r>
      <w:r>
        <w:rPr>
          <w:rFonts w:hint="eastAsia"/>
          <w:sz w:val="24"/>
        </w:rPr>
        <w:t>学时、学分分配表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511"/>
        <w:gridCol w:w="1209"/>
        <w:gridCol w:w="1191"/>
        <w:gridCol w:w="1149"/>
        <w:gridCol w:w="1011"/>
      </w:tblGrid>
      <w:tr w:rsidR="007348D4">
        <w:trPr>
          <w:trHeight w:val="309"/>
          <w:jc w:val="center"/>
        </w:trPr>
        <w:tc>
          <w:tcPr>
            <w:tcW w:w="3151" w:type="dxa"/>
            <w:gridSpan w:val="2"/>
            <w:vMerge w:val="restart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课程类型</w:t>
            </w:r>
          </w:p>
        </w:tc>
        <w:tc>
          <w:tcPr>
            <w:tcW w:w="2400" w:type="dxa"/>
            <w:gridSpan w:val="2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学时</w:t>
            </w:r>
          </w:p>
        </w:tc>
        <w:tc>
          <w:tcPr>
            <w:tcW w:w="2160" w:type="dxa"/>
            <w:gridSpan w:val="2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学分</w:t>
            </w:r>
          </w:p>
        </w:tc>
      </w:tr>
      <w:tr w:rsidR="007348D4">
        <w:trPr>
          <w:trHeight w:val="300"/>
          <w:jc w:val="center"/>
        </w:trPr>
        <w:tc>
          <w:tcPr>
            <w:tcW w:w="3151" w:type="dxa"/>
            <w:gridSpan w:val="2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学时</w:t>
            </w:r>
          </w:p>
        </w:tc>
        <w:tc>
          <w:tcPr>
            <w:tcW w:w="119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比例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学分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比例</w:t>
            </w:r>
          </w:p>
        </w:tc>
      </w:tr>
      <w:tr w:rsidR="007348D4">
        <w:trPr>
          <w:trHeight w:val="312"/>
          <w:jc w:val="center"/>
        </w:trPr>
        <w:tc>
          <w:tcPr>
            <w:tcW w:w="640" w:type="dxa"/>
            <w:vMerge w:val="restart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理论</w:t>
            </w:r>
          </w:p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课程</w:t>
            </w:r>
          </w:p>
        </w:tc>
        <w:tc>
          <w:tcPr>
            <w:tcW w:w="25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公共基础课</w:t>
            </w:r>
          </w:p>
        </w:tc>
        <w:tc>
          <w:tcPr>
            <w:tcW w:w="120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549</w:t>
            </w:r>
          </w:p>
        </w:tc>
        <w:tc>
          <w:tcPr>
            <w:tcW w:w="1191" w:type="dxa"/>
            <w:vMerge w:val="restart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75%</w:t>
            </w:r>
          </w:p>
        </w:tc>
        <w:tc>
          <w:tcPr>
            <w:tcW w:w="1149" w:type="dxa"/>
          </w:tcPr>
          <w:p w:rsidR="007348D4" w:rsidRDefault="00477B0F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26</w:t>
            </w:r>
          </w:p>
        </w:tc>
        <w:tc>
          <w:tcPr>
            <w:tcW w:w="1011" w:type="dxa"/>
            <w:vMerge w:val="restart"/>
            <w:vAlign w:val="center"/>
          </w:tcPr>
          <w:p w:rsidR="007348D4" w:rsidRDefault="007348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63%</w:t>
            </w:r>
          </w:p>
        </w:tc>
      </w:tr>
      <w:tr w:rsidR="007348D4">
        <w:trPr>
          <w:trHeight w:val="273"/>
          <w:jc w:val="center"/>
        </w:trPr>
        <w:tc>
          <w:tcPr>
            <w:tcW w:w="640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专业基础课</w:t>
            </w:r>
          </w:p>
        </w:tc>
        <w:tc>
          <w:tcPr>
            <w:tcW w:w="120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548</w:t>
            </w:r>
          </w:p>
        </w:tc>
        <w:tc>
          <w:tcPr>
            <w:tcW w:w="1191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348D4" w:rsidRDefault="00477B0F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55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348D4">
        <w:trPr>
          <w:trHeight w:val="225"/>
          <w:jc w:val="center"/>
        </w:trPr>
        <w:tc>
          <w:tcPr>
            <w:tcW w:w="640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专业方向限选课</w:t>
            </w:r>
          </w:p>
        </w:tc>
        <w:tc>
          <w:tcPr>
            <w:tcW w:w="1209" w:type="dxa"/>
            <w:tcBorders>
              <w:bottom w:val="dashed" w:sz="4" w:space="0" w:color="auto"/>
            </w:tcBorders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252</w:t>
            </w:r>
          </w:p>
        </w:tc>
        <w:tc>
          <w:tcPr>
            <w:tcW w:w="1191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dashed" w:sz="4" w:space="0" w:color="auto"/>
            </w:tcBorders>
            <w:vAlign w:val="center"/>
          </w:tcPr>
          <w:p w:rsidR="007348D4" w:rsidRDefault="00477B0F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348D4">
        <w:trPr>
          <w:trHeight w:val="195"/>
          <w:jc w:val="center"/>
        </w:trPr>
        <w:tc>
          <w:tcPr>
            <w:tcW w:w="640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7348D4" w:rsidRDefault="007348D4" w:rsidP="00477B0F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</w:t>
            </w:r>
            <w:r w:rsidR="00477B0F">
              <w:rPr>
                <w:rFonts w:hint="eastAsia"/>
                <w:color w:val="auto"/>
                <w:sz w:val="18"/>
                <w:szCs w:val="18"/>
              </w:rPr>
              <w:t>选修</w:t>
            </w:r>
            <w:r>
              <w:rPr>
                <w:rFonts w:hint="eastAsia"/>
                <w:color w:val="auto"/>
                <w:sz w:val="18"/>
                <w:szCs w:val="18"/>
              </w:rPr>
              <w:t>课</w:t>
            </w:r>
          </w:p>
        </w:tc>
        <w:tc>
          <w:tcPr>
            <w:tcW w:w="1209" w:type="dxa"/>
            <w:tcBorders>
              <w:bottom w:val="dashed" w:sz="4" w:space="0" w:color="auto"/>
            </w:tcBorders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160</w:t>
            </w:r>
          </w:p>
        </w:tc>
        <w:tc>
          <w:tcPr>
            <w:tcW w:w="1191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dashed" w:sz="4" w:space="0" w:color="auto"/>
            </w:tcBorders>
            <w:vAlign w:val="center"/>
          </w:tcPr>
          <w:p w:rsidR="007348D4" w:rsidRDefault="00477B0F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348D4">
        <w:trPr>
          <w:trHeight w:val="197"/>
          <w:jc w:val="center"/>
        </w:trPr>
        <w:tc>
          <w:tcPr>
            <w:tcW w:w="640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公共选修课</w:t>
            </w:r>
          </w:p>
        </w:tc>
        <w:tc>
          <w:tcPr>
            <w:tcW w:w="120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108</w:t>
            </w:r>
          </w:p>
        </w:tc>
        <w:tc>
          <w:tcPr>
            <w:tcW w:w="1191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="36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348D4">
        <w:trPr>
          <w:trHeight w:val="285"/>
          <w:jc w:val="center"/>
        </w:trPr>
        <w:tc>
          <w:tcPr>
            <w:tcW w:w="640" w:type="dxa"/>
            <w:vMerge w:val="restart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实践</w:t>
            </w:r>
          </w:p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教学</w:t>
            </w:r>
          </w:p>
        </w:tc>
        <w:tc>
          <w:tcPr>
            <w:tcW w:w="25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公共基础课实践教学</w:t>
            </w:r>
          </w:p>
        </w:tc>
        <w:tc>
          <w:tcPr>
            <w:tcW w:w="120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365</w:t>
            </w:r>
          </w:p>
        </w:tc>
        <w:tc>
          <w:tcPr>
            <w:tcW w:w="1191" w:type="dxa"/>
            <w:vMerge w:val="restart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25%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011" w:type="dxa"/>
            <w:vMerge w:val="restart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37%</w:t>
            </w:r>
          </w:p>
        </w:tc>
      </w:tr>
      <w:tr w:rsidR="007348D4">
        <w:trPr>
          <w:trHeight w:val="255"/>
          <w:jc w:val="center"/>
        </w:trPr>
        <w:tc>
          <w:tcPr>
            <w:tcW w:w="640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专业实验实训课</w:t>
            </w:r>
          </w:p>
        </w:tc>
        <w:tc>
          <w:tcPr>
            <w:tcW w:w="120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312</w:t>
            </w:r>
          </w:p>
        </w:tc>
        <w:tc>
          <w:tcPr>
            <w:tcW w:w="1191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="36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7348D4">
        <w:trPr>
          <w:trHeight w:val="210"/>
          <w:jc w:val="center"/>
        </w:trPr>
        <w:tc>
          <w:tcPr>
            <w:tcW w:w="640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军事理论与训练</w:t>
            </w:r>
          </w:p>
        </w:tc>
        <w:tc>
          <w:tcPr>
            <w:tcW w:w="120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91" w:type="dxa"/>
            <w:vMerge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="36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7348D4">
        <w:trPr>
          <w:trHeight w:val="270"/>
          <w:jc w:val="center"/>
        </w:trPr>
        <w:tc>
          <w:tcPr>
            <w:tcW w:w="640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="36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课程论文（设计）</w:t>
            </w:r>
          </w:p>
        </w:tc>
        <w:tc>
          <w:tcPr>
            <w:tcW w:w="120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9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="36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7348D4">
        <w:trPr>
          <w:trHeight w:val="270"/>
          <w:jc w:val="center"/>
        </w:trPr>
        <w:tc>
          <w:tcPr>
            <w:tcW w:w="640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金工实习</w:t>
            </w:r>
          </w:p>
        </w:tc>
        <w:tc>
          <w:tcPr>
            <w:tcW w:w="120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9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7348D4">
        <w:trPr>
          <w:trHeight w:val="70"/>
          <w:jc w:val="center"/>
        </w:trPr>
        <w:tc>
          <w:tcPr>
            <w:tcW w:w="640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专业实习</w:t>
            </w:r>
          </w:p>
        </w:tc>
        <w:tc>
          <w:tcPr>
            <w:tcW w:w="120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9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7348D4">
        <w:trPr>
          <w:trHeight w:val="82"/>
          <w:jc w:val="center"/>
        </w:trPr>
        <w:tc>
          <w:tcPr>
            <w:tcW w:w="640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毕业论文（设计）</w:t>
            </w:r>
          </w:p>
        </w:tc>
        <w:tc>
          <w:tcPr>
            <w:tcW w:w="120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9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1011" w:type="dxa"/>
            <w:vMerge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7348D4">
        <w:trPr>
          <w:trHeight w:val="253"/>
          <w:jc w:val="center"/>
        </w:trPr>
        <w:tc>
          <w:tcPr>
            <w:tcW w:w="3151" w:type="dxa"/>
            <w:gridSpan w:val="2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120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2718</w:t>
            </w:r>
          </w:p>
        </w:tc>
        <w:tc>
          <w:tcPr>
            <w:tcW w:w="119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149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160</w:t>
            </w:r>
          </w:p>
        </w:tc>
        <w:tc>
          <w:tcPr>
            <w:tcW w:w="1011" w:type="dxa"/>
            <w:vAlign w:val="center"/>
          </w:tcPr>
          <w:p w:rsidR="007348D4" w:rsidRDefault="007348D4">
            <w:pPr>
              <w:pStyle w:val="a5"/>
              <w:snapToGrid w:val="0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100%</w:t>
            </w:r>
          </w:p>
        </w:tc>
      </w:tr>
    </w:tbl>
    <w:p w:rsidR="007348D4" w:rsidRDefault="007348D4">
      <w:pPr>
        <w:spacing w:line="300" w:lineRule="auto"/>
        <w:jc w:val="center"/>
        <w:rPr>
          <w:rFonts w:hint="eastAsia"/>
          <w:sz w:val="24"/>
        </w:rPr>
      </w:pPr>
    </w:p>
    <w:p w:rsidR="007348D4" w:rsidRDefault="007348D4">
      <w:pPr>
        <w:spacing w:line="300" w:lineRule="auto"/>
        <w:jc w:val="center"/>
        <w:rPr>
          <w:sz w:val="24"/>
        </w:rPr>
      </w:pPr>
    </w:p>
    <w:p w:rsidR="007348D4" w:rsidRDefault="007348D4">
      <w:pPr>
        <w:rPr>
          <w:rFonts w:hint="eastAsia"/>
        </w:rPr>
      </w:pPr>
    </w:p>
    <w:sectPr w:rsidR="007348D4">
      <w:pgSz w:w="11906" w:h="16838"/>
      <w:pgMar w:top="1134" w:right="1134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BAF"/>
    <w:rsid w:val="00002482"/>
    <w:rsid w:val="00025B2E"/>
    <w:rsid w:val="00044566"/>
    <w:rsid w:val="000446B3"/>
    <w:rsid w:val="00054A30"/>
    <w:rsid w:val="00070015"/>
    <w:rsid w:val="000734A9"/>
    <w:rsid w:val="00085CA8"/>
    <w:rsid w:val="00090E36"/>
    <w:rsid w:val="000A6840"/>
    <w:rsid w:val="000B3AB6"/>
    <w:rsid w:val="000B4D0C"/>
    <w:rsid w:val="000C5B46"/>
    <w:rsid w:val="000C7E4A"/>
    <w:rsid w:val="00103EA7"/>
    <w:rsid w:val="001119AB"/>
    <w:rsid w:val="00114B9D"/>
    <w:rsid w:val="00114C31"/>
    <w:rsid w:val="00186BD9"/>
    <w:rsid w:val="001956B6"/>
    <w:rsid w:val="001C6396"/>
    <w:rsid w:val="001C681D"/>
    <w:rsid w:val="001D347A"/>
    <w:rsid w:val="001D4361"/>
    <w:rsid w:val="001D605F"/>
    <w:rsid w:val="00212475"/>
    <w:rsid w:val="00287FF1"/>
    <w:rsid w:val="00291664"/>
    <w:rsid w:val="00293549"/>
    <w:rsid w:val="002C2342"/>
    <w:rsid w:val="002C558A"/>
    <w:rsid w:val="002C5C4F"/>
    <w:rsid w:val="002D24D5"/>
    <w:rsid w:val="002D4510"/>
    <w:rsid w:val="002D7382"/>
    <w:rsid w:val="002E5830"/>
    <w:rsid w:val="00310953"/>
    <w:rsid w:val="00314ACB"/>
    <w:rsid w:val="00325213"/>
    <w:rsid w:val="003945BA"/>
    <w:rsid w:val="003A2598"/>
    <w:rsid w:val="003C5EF1"/>
    <w:rsid w:val="003D4C88"/>
    <w:rsid w:val="00411AB0"/>
    <w:rsid w:val="004275EC"/>
    <w:rsid w:val="00443FFF"/>
    <w:rsid w:val="004512F2"/>
    <w:rsid w:val="00461F07"/>
    <w:rsid w:val="004632A3"/>
    <w:rsid w:val="00477B0F"/>
    <w:rsid w:val="00481762"/>
    <w:rsid w:val="00483A95"/>
    <w:rsid w:val="004A75F3"/>
    <w:rsid w:val="004B7E0D"/>
    <w:rsid w:val="004C425B"/>
    <w:rsid w:val="004D09B5"/>
    <w:rsid w:val="004D5473"/>
    <w:rsid w:val="004E2922"/>
    <w:rsid w:val="004F4921"/>
    <w:rsid w:val="00516F42"/>
    <w:rsid w:val="005362EE"/>
    <w:rsid w:val="0054378E"/>
    <w:rsid w:val="00565D1A"/>
    <w:rsid w:val="005A04B2"/>
    <w:rsid w:val="005A7312"/>
    <w:rsid w:val="005B6738"/>
    <w:rsid w:val="005D5852"/>
    <w:rsid w:val="00605B52"/>
    <w:rsid w:val="00633224"/>
    <w:rsid w:val="006359DA"/>
    <w:rsid w:val="006422AE"/>
    <w:rsid w:val="0066333B"/>
    <w:rsid w:val="00676CD8"/>
    <w:rsid w:val="006816E7"/>
    <w:rsid w:val="00690F69"/>
    <w:rsid w:val="006918D6"/>
    <w:rsid w:val="006971D0"/>
    <w:rsid w:val="006F19EC"/>
    <w:rsid w:val="006F425A"/>
    <w:rsid w:val="00730F2D"/>
    <w:rsid w:val="007348D4"/>
    <w:rsid w:val="007373C6"/>
    <w:rsid w:val="00762E66"/>
    <w:rsid w:val="00793513"/>
    <w:rsid w:val="00796A2A"/>
    <w:rsid w:val="007B73CD"/>
    <w:rsid w:val="007E76ED"/>
    <w:rsid w:val="00827EFA"/>
    <w:rsid w:val="00836B1F"/>
    <w:rsid w:val="0085201B"/>
    <w:rsid w:val="00863C5A"/>
    <w:rsid w:val="00873856"/>
    <w:rsid w:val="008A7327"/>
    <w:rsid w:val="008B6736"/>
    <w:rsid w:val="008B6BAF"/>
    <w:rsid w:val="00912069"/>
    <w:rsid w:val="009367A0"/>
    <w:rsid w:val="00944D20"/>
    <w:rsid w:val="00951DA7"/>
    <w:rsid w:val="00954B2B"/>
    <w:rsid w:val="00993493"/>
    <w:rsid w:val="009C1E98"/>
    <w:rsid w:val="009C37C5"/>
    <w:rsid w:val="00A03350"/>
    <w:rsid w:val="00A2638C"/>
    <w:rsid w:val="00A2652E"/>
    <w:rsid w:val="00A3249D"/>
    <w:rsid w:val="00A54856"/>
    <w:rsid w:val="00A600C4"/>
    <w:rsid w:val="00A6634D"/>
    <w:rsid w:val="00A93BE1"/>
    <w:rsid w:val="00A9415C"/>
    <w:rsid w:val="00A95644"/>
    <w:rsid w:val="00AA11F7"/>
    <w:rsid w:val="00AD3E2E"/>
    <w:rsid w:val="00AD656E"/>
    <w:rsid w:val="00AD6BFE"/>
    <w:rsid w:val="00AE31E1"/>
    <w:rsid w:val="00AE508E"/>
    <w:rsid w:val="00AF6BE6"/>
    <w:rsid w:val="00B015AE"/>
    <w:rsid w:val="00B34D2A"/>
    <w:rsid w:val="00B76BC5"/>
    <w:rsid w:val="00B80908"/>
    <w:rsid w:val="00B86E56"/>
    <w:rsid w:val="00B912C8"/>
    <w:rsid w:val="00BA4B6E"/>
    <w:rsid w:val="00BA74BA"/>
    <w:rsid w:val="00BC7462"/>
    <w:rsid w:val="00BD373B"/>
    <w:rsid w:val="00BD4A5B"/>
    <w:rsid w:val="00BE0745"/>
    <w:rsid w:val="00C21C9C"/>
    <w:rsid w:val="00C54C90"/>
    <w:rsid w:val="00C74264"/>
    <w:rsid w:val="00CA73E2"/>
    <w:rsid w:val="00CB03B6"/>
    <w:rsid w:val="00D03475"/>
    <w:rsid w:val="00D1787D"/>
    <w:rsid w:val="00D25301"/>
    <w:rsid w:val="00D45C3C"/>
    <w:rsid w:val="00D57EE1"/>
    <w:rsid w:val="00D853F6"/>
    <w:rsid w:val="00D917C0"/>
    <w:rsid w:val="00DB60C0"/>
    <w:rsid w:val="00DC5345"/>
    <w:rsid w:val="00DC54B6"/>
    <w:rsid w:val="00DF3B29"/>
    <w:rsid w:val="00DF66AF"/>
    <w:rsid w:val="00E13D8D"/>
    <w:rsid w:val="00E267C1"/>
    <w:rsid w:val="00E64F3B"/>
    <w:rsid w:val="00E721D2"/>
    <w:rsid w:val="00E92CB8"/>
    <w:rsid w:val="00E94601"/>
    <w:rsid w:val="00EA41C3"/>
    <w:rsid w:val="00EA5E17"/>
    <w:rsid w:val="00EA7DD0"/>
    <w:rsid w:val="00EC0F0E"/>
    <w:rsid w:val="00ED3E27"/>
    <w:rsid w:val="00ED7CB7"/>
    <w:rsid w:val="00EF201D"/>
    <w:rsid w:val="00F0251E"/>
    <w:rsid w:val="00F13AC4"/>
    <w:rsid w:val="00F32E1C"/>
    <w:rsid w:val="00F34293"/>
    <w:rsid w:val="00F433C0"/>
    <w:rsid w:val="00F82F87"/>
    <w:rsid w:val="00F8340F"/>
    <w:rsid w:val="00FA26A7"/>
    <w:rsid w:val="00FF235A"/>
    <w:rsid w:val="00FF78D9"/>
    <w:rsid w:val="36A1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00" w:lineRule="auto"/>
      <w:ind w:firstLineChars="200" w:firstLine="560"/>
      <w:jc w:val="center"/>
      <w:outlineLvl w:val="0"/>
    </w:pPr>
    <w:rPr>
      <w:rFonts w:ascii="宋体" w:hAnsi="宋体"/>
      <w:color w:val="33CCCC"/>
      <w:sz w:val="28"/>
    </w:rPr>
  </w:style>
  <w:style w:type="paragraph" w:styleId="2">
    <w:name w:val="heading 2"/>
    <w:basedOn w:val="a"/>
    <w:next w:val="a"/>
    <w:qFormat/>
    <w:pPr>
      <w:keepNext/>
      <w:spacing w:line="300" w:lineRule="auto"/>
      <w:ind w:firstLineChars="200" w:firstLine="5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00" w:lineRule="auto"/>
      <w:ind w:firstLineChars="200" w:firstLine="560"/>
      <w:jc w:val="center"/>
      <w:outlineLvl w:val="2"/>
    </w:pPr>
    <w:rPr>
      <w:color w:val="00FF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2Char">
    <w:name w:val="正文文本 2 Char"/>
    <w:link w:val="20"/>
    <w:rPr>
      <w:kern w:val="2"/>
      <w:sz w:val="21"/>
      <w:szCs w:val="24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20">
    <w:name w:val="Body Text 2"/>
    <w:basedOn w:val="a"/>
    <w:link w:val="2Char"/>
    <w:pPr>
      <w:spacing w:after="120" w:line="480" w:lineRule="auto"/>
    </w:pPr>
    <w:rPr>
      <w:lang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ody Text Indent"/>
    <w:basedOn w:val="a"/>
    <w:pPr>
      <w:spacing w:line="300" w:lineRule="auto"/>
      <w:ind w:firstLineChars="200" w:firstLine="420"/>
      <w:jc w:val="left"/>
    </w:pPr>
    <w:rPr>
      <w:rFonts w:ascii="宋体" w:hAnsi="宋体"/>
      <w:color w:val="0000FF"/>
      <w:kern w:val="0"/>
      <w:szCs w:val="21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Plain Text"/>
    <w:basedOn w:val="a"/>
    <w:rPr>
      <w:rFonts w:ascii="宋体" w:hAnsi="Courier New" w:cs="Courier New" w:hint="eastAsia"/>
      <w:szCs w:val="21"/>
    </w:rPr>
  </w:style>
  <w:style w:type="paragraph" w:customStyle="1" w:styleId="Char6CharCharChar">
    <w:name w:val=" Char6 Char Char Char"/>
    <w:basedOn w:val="a"/>
    <w:rPr>
      <w:rFonts w:ascii="Tahoma" w:hAnsi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1995</Words>
  <Characters>454</Characters>
  <Application>Microsoft Office Word</Application>
  <DocSecurity>0</DocSecurity>
  <PresentationFormat/>
  <Lines>3</Lines>
  <Paragraphs>4</Paragraphs>
  <Slides>0</Slides>
  <Notes>0</Notes>
  <HiddenSlides>0</HiddenSlides>
  <MMClips>0</MMClip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嵌入式开发专业人才培养方案</dc:title>
  <dc:creator>kjz</dc:creator>
  <cp:lastModifiedBy>AutoBVT</cp:lastModifiedBy>
  <cp:revision>2</cp:revision>
  <dcterms:created xsi:type="dcterms:W3CDTF">2015-10-08T04:28:00Z</dcterms:created>
  <dcterms:modified xsi:type="dcterms:W3CDTF">2015-10-08T04:28:00Z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